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b459-7"/>
    <w:p>
      <w:pPr>
        <w:pStyle w:val="Heading4"/>
      </w:pPr>
      <w:r>
        <w:t xml:space="preserve">Ray</w:t>
      </w:r>
      <w:r>
        <w:t xml:space="preserve"> </w:t>
      </w:r>
      <w:r>
        <w:rPr>
          <w:i/>
          <w:iCs/>
        </w:rPr>
        <w:t xml:space="preserve">vs.</w:t>
      </w:r>
      <w:r>
        <w:t xml:space="preserve"> </w:t>
      </w:r>
      <w:r>
        <w:t xml:space="preserve">The Bark Henry Harbeck.</w:t>
      </w:r>
    </w:p>
    <w:p>
      <w:pPr>
        <w:pStyle w:val="FirstParagraph"/>
      </w:pPr>
      <w:r>
        <w:t xml:space="preserve">The case of the Sea</w:t>
      </w:r>
      <w:r>
        <w:t xml:space="preserve"> </w:t>
      </w:r>
      <w:r>
        <w:rPr>
          <w:i/>
          <w:iCs/>
        </w:rPr>
        <w:t xml:space="preserve">Witch, {ante, p,</w:t>
      </w:r>
      <w:r>
        <w:t xml:space="preserve"> </w:t>
      </w:r>
      <w:r>
        <w:t xml:space="preserve">162,) affirmed.</w:t>
      </w:r>
    </w:p>
    <w:bookmarkEnd w:id="20"/>
    <w:p>
      <w:pPr>
        <w:pStyle w:val="BodyText"/>
      </w:pPr>
      <w:r>
        <w:rPr>
          <w:i/>
          <w:iCs/>
        </w:rPr>
        <w:t xml:space="preserve">By the Court,</w:t>
      </w:r>
    </w:p>
    <w:p>
      <w:pPr>
        <w:pStyle w:val="BodyText"/>
      </w:pPr>
      <w:r>
        <w:t xml:space="preserve">Bennett, J.</w:t>
      </w:r>
    </w:p>
    <w:p>
      <w:pPr>
        <w:pStyle w:val="BodyText"/>
      </w:pPr>
      <w:r>
        <w:t xml:space="preserve">Tbe</w:t>
      </w:r>
      <w:r>
        <w:t xml:space="preserve"> </w:t>
      </w:r>
      <w:r>
        <w:rPr>
          <w:i/>
          <w:iCs/>
        </w:rPr>
        <w:t xml:space="preserve">Henry Harbech</w:t>
      </w:r>
      <w:r>
        <w:t xml:space="preserve"> </w:t>
      </w:r>
      <w:r>
        <w:t xml:space="preserve">was not a vessel used in navigating the waters of this state, within the meaning of the act known as the Boat and Tessel Act. The case falls directly within the decision of this court in the case of the</w:t>
      </w:r>
      <w:r>
        <w:t xml:space="preserve"> </w:t>
      </w:r>
      <w:r>
        <w:rPr>
          <w:i/>
          <w:iCs/>
        </w:rPr>
        <w:t xml:space="preserve">Sea Witch.</w:t>
      </w:r>
      <w:r>
        <w:t xml:space="preserve"> </w:t>
      </w:r>
      <w:r>
        <w:t xml:space="preserve">The vessel was used in navigating the high seas, and not the waters of this state, any farther than by entering the harbor of San Francisco from the ocean. It was held</w:t>
      </w:r>
      <w:r>
        <w:t xml:space="preserve"> </w:t>
      </w:r>
      <w:hyperlink w:anchor="p452">
        <w:r>
          <w:rPr>
            <w:rStyle w:val="Hyperlink"/>
          </w:rPr>
          <w:t xml:space="preserve">*452</w:t>
        </w:r>
      </w:hyperlink>
      <w:r>
        <w:t xml:space="preserve">in the case of the</w:t>
      </w:r>
      <w:r>
        <w:t xml:space="preserve"> </w:t>
      </w:r>
      <w:r>
        <w:rPr>
          <w:i/>
          <w:iCs/>
        </w:rPr>
        <w:t xml:space="preserve">Sea Witch</w:t>
      </w:r>
      <w:r>
        <w:t xml:space="preserve"> </w:t>
      </w:r>
      <w:r>
        <w:t xml:space="preserve">that an attachment could not issue against such a vessel. The judgment must be reversed.</w:t>
      </w:r>
    </w:p>
    <w:p>
      <w:pPr>
        <w:pStyle w:val="BodyText"/>
      </w:pPr>
      <w:r>
        <w:t xml:space="preserve">Note,—At the same term of the court, the case of the</w:t>
      </w:r>
      <w:r>
        <w:t xml:space="preserve"> </w:t>
      </w:r>
      <w:r>
        <w:rPr>
          <w:i/>
          <w:iCs/>
        </w:rPr>
        <w:t xml:space="preserve">Sea Witch</w:t>
      </w:r>
      <w:r>
        <w:t xml:space="preserve"> </w:t>
      </w:r>
      <w:r>
        <w:t xml:space="preserve">was also affirmed in the case of</w:t>
      </w:r>
      <w:r>
        <w:t xml:space="preserve"> </w:t>
      </w:r>
      <w:r>
        <w:rPr>
          <w:i/>
          <w:iCs/>
        </w:rPr>
        <w:t xml:space="preserve">Morey</w:t>
      </w:r>
      <w:r>
        <w:t xml:space="preserve"> </w:t>
      </w:r>
      <w:r>
        <w:t xml:space="preserve">v.</w:t>
      </w:r>
      <w:r>
        <w:t xml:space="preserve"> </w:t>
      </w:r>
      <w:r>
        <w:rPr>
          <w:i/>
          <w:iCs/>
        </w:rPr>
        <w:t xml:space="preserve">The Ship Andalusia,</w:t>
      </w:r>
    </w:p>
    <w:p>
      <w:pPr>
        <w:pStyle w:val="BodyText"/>
      </w:pPr>
      <w:r>
        <w:t xml:space="preserve">Ordered accordingly.</w:t>
      </w:r>
    </w:p>
    <w:sectPr>
      <w:footnotePr>
        <w:numRestart w:val="eachSect"/>
      </w:footnotePr>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z w:val="56"/>
      <w:szCs w:val="56"/>
    </w:rPr>
  </w:style>
  <w:style w:styleId="Subtitle" w:type="paragraph">
    <w:name w:val="Subtitle"/>
    <w:basedOn w:val="Title"/>
    <w:next w:val="BodyText"/>
    <w:link w:val="SubtitleChar"/>
    <w:uiPriority w:val="11"/>
    <w:qFormat/>
    <w:rsid w:val="00A10FD9"/>
    <w:pPr>
      <w:numPr>
        <w:ilvl w:val="1"/>
      </w:numPr>
    </w:pPr>
    <w:rPr>
      <w:rFonts w:cstheme="majorBidi" w:eastAsiaTheme="majorEastAsia"/>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basedOn w:val="Title"/>
    <w:next w:val="BodyText"/>
    <w:qFormat/>
    <w:pPr>
      <w:keepNext/>
      <w:keepLines/>
    </w:pPr>
    <w:rPr>
      <w:sz w:val="24"/>
      <w:szCs w:val="24"/>
    </w:rPr>
  </w:style>
  <w:style w:styleId="Date" w:type="paragraph">
    <w:name w:val="Date"/>
    <w:basedOn w:val="Title"/>
    <w:next w:val="BodyText"/>
    <w:qFormat/>
    <w:pPr>
      <w:keepNext/>
      <w:keepLines/>
    </w:pPr>
    <w:rPr>
      <w:sz w:val="24"/>
      <w:szCs w:val="24"/>
    </w:rPr>
  </w:style>
  <w:style w:customStyle="1" w:styleId="AbstractTitle" w:type="paragraph">
    <w:name w:val="Abstract Title"/>
    <w:basedOn w:val="Normal"/>
    <w:next w:val="Abstract"/>
    <w:qFormat/>
    <w:pPr>
      <w:keepNext/>
      <w:keepLines/>
      <w:spacing w:after="0" w:before="300"/>
      <w:jc w:val="center"/>
    </w:pPr>
    <w:rPr>
      <w:b/>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b/>
      <w:color w:val="007020"/>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b/>
      <w:color w:val="008000"/>
    </w:rPr>
  </w:style>
  <w:style w:type="character" w:customStyle="1" w:styleId="CommentTok">
    <w:name w:val="CommentTok"/>
    <w:basedOn w:val="VerbatimChar"/>
    <w:rPr>
      <w:i/>
      <w:color w:val="60a0b0"/>
    </w:rPr>
  </w:style>
  <w:style w:type="character" w:customStyle="1" w:styleId="DocumentationTok">
    <w:name w:val="DocumentationTok"/>
    <w:basedOn w:val="VerbatimChar"/>
    <w:rPr>
      <w:i/>
      <w:color w:val="ba2121"/>
    </w:rPr>
  </w:style>
  <w:style w:type="character" w:customStyle="1" w:styleId="AnnotationTok">
    <w:name w:val="AnnotationTok"/>
    <w:basedOn w:val="VerbatimChar"/>
    <w:rPr>
      <w:b/>
      <w:i/>
      <w:color w:val="60a0b0"/>
    </w:rPr>
  </w:style>
  <w:style w:type="character" w:customStyle="1" w:styleId="CommentVarTok">
    <w:name w:val="CommentVarTok"/>
    <w:basedOn w:val="VerbatimChar"/>
    <w:rPr>
      <w:b/>
      <w:i/>
      <w:color w:val="60a0b0"/>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b/>
      <w:color w:val="007020"/>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b/>
      <w:i/>
      <w:color w:val="60a0b0"/>
    </w:rPr>
  </w:style>
  <w:style w:type="character" w:customStyle="1" w:styleId="WarningTok">
    <w:name w:val="WarningTok"/>
    <w:basedOn w:val="VerbatimChar"/>
    <w:rPr>
      <w:b/>
      <w:i/>
      <w:color w:val="60a0b0"/>
    </w:rPr>
  </w:style>
  <w:style w:type="character" w:customStyle="1" w:styleId="AlertTok">
    <w:name w:val="AlertTok"/>
    <w:basedOn w:val="VerbatimChar"/>
    <w:rPr>
      <w:b/>
      <w:color w:val="ff0000"/>
    </w:rPr>
  </w:style>
  <w:style w:type="character" w:customStyle="1" w:styleId="ErrorTok">
    <w:name w:val="ErrorTok"/>
    <w:basedOn w:val="VerbatimChar"/>
    <w:rPr>
      <w:b/>
      <w:color w:val="ff0000"/>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2025-03-01T23:17:32Z</dcterms:created>
  <dcterms:modified xsi:type="dcterms:W3CDTF">2025-03-01T23:17:32Z</dcterms:modified>
</cp:coreProperties>
</file>

<file path=docProps/custom.xml><?xml version="1.0" encoding="utf-8"?>
<Properties xmlns="http://schemas.openxmlformats.org/officeDocument/2006/custom-properties" xmlns:vt="http://schemas.openxmlformats.org/officeDocument/2006/docPropsVTypes"/>
</file>